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80" w:rsidRPr="000E4B80" w:rsidRDefault="000E4B80" w:rsidP="000E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80">
        <w:rPr>
          <w:rFonts w:ascii="Times New Roman" w:hAnsi="Times New Roman" w:cs="Times New Roman"/>
          <w:b/>
          <w:sz w:val="24"/>
          <w:szCs w:val="24"/>
        </w:rPr>
        <w:t>KONTYNUACJA PRZEWODU DOKTORSKIEGO</w:t>
      </w:r>
    </w:p>
    <w:p w:rsidR="000E4B80" w:rsidRPr="00E93764" w:rsidRDefault="000E4B80" w:rsidP="000E4B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Zgodnie z § 3</w:t>
      </w:r>
      <w:r w:rsidRPr="00E93764">
        <w:rPr>
          <w:rFonts w:ascii="Times New Roman" w:hAnsi="Times New Roman" w:cs="Times New Roman"/>
          <w:i/>
          <w:sz w:val="24"/>
          <w:szCs w:val="24"/>
        </w:rPr>
        <w:t xml:space="preserve"> Regulaminu nadawania stopni naukowych w Politechnice Wrocławskiej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3764">
        <w:rPr>
          <w:rFonts w:ascii="Times New Roman" w:hAnsi="Times New Roman" w:cs="Times New Roman"/>
          <w:i/>
          <w:sz w:val="24"/>
          <w:szCs w:val="24"/>
        </w:rPr>
        <w:t>(Załącznik do PO 2/2020)</w:t>
      </w:r>
      <w:r>
        <w:rPr>
          <w:rFonts w:ascii="Times New Roman" w:hAnsi="Times New Roman" w:cs="Times New Roman"/>
          <w:i/>
          <w:sz w:val="24"/>
          <w:szCs w:val="24"/>
        </w:rPr>
        <w:t>, na podstawie podjętej chwały Senatu nr 871/38/2016÷2020 z dnia 19 grudnia 2019 r.</w:t>
      </w:r>
    </w:p>
    <w:p w:rsidR="000E4B80" w:rsidRPr="00E25134" w:rsidRDefault="000E4B80" w:rsidP="000E4B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B80" w:rsidRPr="000E4B80" w:rsidRDefault="000E4B80" w:rsidP="000E4B80">
      <w:pPr>
        <w:pStyle w:val="Akapitzlist"/>
        <w:numPr>
          <w:ilvl w:val="0"/>
          <w:numId w:val="1"/>
        </w:numPr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 xml:space="preserve">Niezakończone przewody doktorskie, wszczęte przed dniem 1 października 2018 r. przeprowadza się na zasadach dotychczasowych, z tym że stopień doktora nadaje się w dziedzinach lub dyscyplinach określonych w przepisach </w:t>
      </w:r>
      <w:r>
        <w:rPr>
          <w:rFonts w:ascii="Times New Roman" w:hAnsi="Times New Roman" w:cs="Times New Roman"/>
          <w:sz w:val="24"/>
          <w:szCs w:val="24"/>
        </w:rPr>
        <w:t>rozporządzenia Ministra Nauki i </w:t>
      </w:r>
      <w:r w:rsidRPr="000E4B80">
        <w:rPr>
          <w:rFonts w:ascii="Times New Roman" w:hAnsi="Times New Roman" w:cs="Times New Roman"/>
          <w:sz w:val="24"/>
          <w:szCs w:val="24"/>
        </w:rPr>
        <w:t>Szkolnictwa Wyższego z dnia 20 września 2018 r. w sprawie dziedzin nauki i dyscyplin naukowych oraz dyscyplin artystycznych (Dz. U. z 2018 r., poz. 1818).</w:t>
      </w:r>
    </w:p>
    <w:p w:rsidR="000E4B80" w:rsidRPr="000E4B80" w:rsidRDefault="000E4B80" w:rsidP="000E4B80">
      <w:pPr>
        <w:pStyle w:val="Akapitzlist"/>
        <w:numPr>
          <w:ilvl w:val="0"/>
          <w:numId w:val="1"/>
        </w:numPr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>W przewodach doktorskich wszczętych w okresie od 1 października 2018 r. do dnia 30 kwietnia 2019 r. stopień nadaje się na podstawie przepisów dotychczasowych, z tym że stopień doktora nadaje się w dziedzinach lub dyscyplinach określonych w przepisach rozporządzenia Ministra Nauki i Szkolnictwa Wyższego z dnia 20 września 2018 r. w sprawie dziedzin nauki i dyscyplin naukowych oraz dy</w:t>
      </w:r>
      <w:r>
        <w:rPr>
          <w:rFonts w:ascii="Times New Roman" w:hAnsi="Times New Roman" w:cs="Times New Roman"/>
          <w:sz w:val="24"/>
          <w:szCs w:val="24"/>
        </w:rPr>
        <w:t>scyplin artystycznych (Dz. U. z </w:t>
      </w:r>
      <w:r w:rsidRPr="000E4B80">
        <w:rPr>
          <w:rFonts w:ascii="Times New Roman" w:hAnsi="Times New Roman" w:cs="Times New Roman"/>
          <w:sz w:val="24"/>
          <w:szCs w:val="24"/>
        </w:rPr>
        <w:t>2018 r., poz. 1818);</w:t>
      </w:r>
    </w:p>
    <w:p w:rsidR="000E4B80" w:rsidRPr="000E4B80" w:rsidRDefault="000E4B80" w:rsidP="000E4B80">
      <w:pPr>
        <w:pStyle w:val="Akapitzlist"/>
        <w:numPr>
          <w:ilvl w:val="0"/>
          <w:numId w:val="1"/>
        </w:numPr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 xml:space="preserve">We wszczętych i niezakończonych przewodach doktorskich stopień nadaje właściwa dla danej dyscypliny naukowej komisja ds. stopni naukowych. </w:t>
      </w:r>
    </w:p>
    <w:p w:rsidR="000E4B80" w:rsidRPr="000E4B80" w:rsidRDefault="000E4B80" w:rsidP="000E4B80">
      <w:pPr>
        <w:pStyle w:val="Akapitzlist"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 xml:space="preserve">W odniesieniu do przewodu doktorskiego, </w:t>
      </w:r>
      <w:r w:rsidRPr="00E25134">
        <w:rPr>
          <w:rFonts w:ascii="Times New Roman" w:hAnsi="Times New Roman" w:cs="Times New Roman"/>
          <w:color w:val="FF0000"/>
          <w:sz w:val="24"/>
          <w:szCs w:val="24"/>
        </w:rPr>
        <w:t>niezakończonego do dnia 31 grudnia 2021 r.</w:t>
      </w:r>
      <w:r w:rsidRPr="000E4B80">
        <w:rPr>
          <w:rFonts w:ascii="Times New Roman" w:hAnsi="Times New Roman" w:cs="Times New Roman"/>
          <w:sz w:val="24"/>
          <w:szCs w:val="24"/>
        </w:rPr>
        <w:t>, komisja ds. stopni naukowych podejmuje</w:t>
      </w:r>
      <w:r w:rsidRPr="000E4B80">
        <w:rPr>
          <w:rFonts w:ascii="Times New Roman" w:eastAsia="TimesNewRoman" w:hAnsi="Times New Roman" w:cs="Times New Roman"/>
          <w:sz w:val="24"/>
          <w:szCs w:val="24"/>
        </w:rPr>
        <w:t xml:space="preserve"> uchwały</w:t>
      </w:r>
      <w:r w:rsidRPr="000E4B80">
        <w:rPr>
          <w:rFonts w:ascii="Times New Roman" w:hAnsi="Times New Roman" w:cs="Times New Roman"/>
          <w:sz w:val="24"/>
          <w:szCs w:val="24"/>
        </w:rPr>
        <w:t xml:space="preserve"> w sprawie:</w:t>
      </w:r>
    </w:p>
    <w:p w:rsidR="000E4B80" w:rsidRPr="000E4B80" w:rsidRDefault="000E4B80" w:rsidP="000E4B80">
      <w:pPr>
        <w:pStyle w:val="Akapitzlist"/>
        <w:widowControl w:val="0"/>
        <w:numPr>
          <w:ilvl w:val="0"/>
          <w:numId w:val="2"/>
        </w:numPr>
        <w:tabs>
          <w:tab w:val="left" w:pos="1134"/>
        </w:tabs>
        <w:suppressAutoHyphens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>zamknięcia przewodu doktorskiego albo</w:t>
      </w:r>
    </w:p>
    <w:p w:rsidR="000E4B80" w:rsidRPr="000E4B80" w:rsidRDefault="000E4B80" w:rsidP="000E4B80">
      <w:pPr>
        <w:pStyle w:val="Akapitzlist"/>
        <w:widowControl w:val="0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4B80">
        <w:rPr>
          <w:rFonts w:ascii="Times New Roman" w:hAnsi="Times New Roman" w:cs="Times New Roman"/>
          <w:sz w:val="24"/>
          <w:szCs w:val="24"/>
        </w:rPr>
        <w:t>umorzenia przewodu doktorskiego.</w:t>
      </w:r>
    </w:p>
    <w:p w:rsidR="000E4B80" w:rsidRPr="003709CA" w:rsidRDefault="000E4B80" w:rsidP="003709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ROZPRAWA DOKTORSKA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przygotowywana pod opieką promotora albo pod opieką promotora i promotora pomocniczego, powinna stanowić oryginalne rozwiązanie problemu naukowego oraz wykazywać ogólną wiedzę teoretyczną kandydata w danej dyscyplinie naukowej oraz umiejętność samodzielnego prowadzenia pracy naukowej.</w:t>
      </w:r>
    </w:p>
    <w:p w:rsidR="00716C12" w:rsidRDefault="00716C12" w:rsidP="006C3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Rozprawa doktorska może mieć fo</w:t>
      </w:r>
      <w:r w:rsidR="00E25134">
        <w:rPr>
          <w:rFonts w:ascii="Times New Roman" w:eastAsia="Times New Roman" w:hAnsi="Times New Roman" w:cs="Times New Roman"/>
          <w:sz w:val="24"/>
          <w:szCs w:val="24"/>
          <w:lang w:eastAsia="pl-PL"/>
        </w:rPr>
        <w:t>rmę maszynopisu książki,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wydanej lub spójnego tematycznie zbioru rozdziałów w książkach wydanych, spójnego tematycznie zbioru artykułów opublikowanych lub przyjętych do druku w czasopismach naukowych, określonych przez ministra właściwego do spraw nauki na podstawie przepisów dotyczących finansowania nauki, jeżeli odpowiada warunkom określonym w ust. 1.</w:t>
      </w:r>
    </w:p>
    <w:p w:rsidR="006C37A0" w:rsidRDefault="006C37A0" w:rsidP="006C3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7A0" w:rsidRPr="006C37A0" w:rsidRDefault="006C37A0" w:rsidP="006C3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7A0">
        <w:rPr>
          <w:rFonts w:ascii="Times New Roman" w:hAnsi="Times New Roman" w:cs="Times New Roman"/>
          <w:iCs/>
          <w:sz w:val="24"/>
          <w:szCs w:val="24"/>
        </w:rPr>
        <w:t xml:space="preserve">W przypadku prac dwu- lub </w:t>
      </w:r>
      <w:proofErr w:type="spellStart"/>
      <w:r w:rsidRPr="006C37A0">
        <w:rPr>
          <w:rFonts w:ascii="Times New Roman" w:hAnsi="Times New Roman" w:cs="Times New Roman"/>
          <w:iCs/>
          <w:sz w:val="24"/>
          <w:szCs w:val="24"/>
        </w:rPr>
        <w:t>wieloautorskich</w:t>
      </w:r>
      <w:proofErr w:type="spellEnd"/>
      <w:r w:rsidRPr="006C37A0">
        <w:rPr>
          <w:rFonts w:ascii="Times New Roman" w:hAnsi="Times New Roman" w:cs="Times New Roman"/>
          <w:iCs/>
          <w:sz w:val="24"/>
          <w:szCs w:val="24"/>
        </w:rPr>
        <w:t xml:space="preserve"> zaleca się złożenie oświadczenia przez doktoranta oraz współautorów wskazujące na ich merytory</w:t>
      </w:r>
      <w:r>
        <w:rPr>
          <w:rFonts w:ascii="Times New Roman" w:hAnsi="Times New Roman" w:cs="Times New Roman"/>
          <w:iCs/>
          <w:sz w:val="24"/>
          <w:szCs w:val="24"/>
        </w:rPr>
        <w:t>czny (a NIE procentowy) wkład w </w:t>
      </w:r>
      <w:r w:rsidRPr="006C37A0">
        <w:rPr>
          <w:rFonts w:ascii="Times New Roman" w:hAnsi="Times New Roman" w:cs="Times New Roman"/>
          <w:iCs/>
          <w:sz w:val="24"/>
          <w:szCs w:val="24"/>
        </w:rPr>
        <w:t>powstanie każdej pracy [np. twórca hipotezy badawczej, pomysłodawca badań, wykonanie specyficznych badań (np. przeprowadzenie konkretnych doświadczeń, opracowanie i zebranie ankiet, itp.), wykonanie analizy wyników, przygotowanie manuskryptu artykułu, i inne]. Określenie wkładu danego autora, w tym doktoranta, powinno być na tyle precyzyjne, aby umożliwić dokładną ocenę jego udziału i roli w powstaniu każdej pracy.</w:t>
      </w:r>
    </w:p>
    <w:p w:rsidR="006C37A0" w:rsidRPr="00716C12" w:rsidRDefault="006C37A0" w:rsidP="006C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C12" w:rsidRPr="00716C12" w:rsidRDefault="00716C12" w:rsidP="006C37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Rozprawę doktorską może także stanowić samodzielna i wyodrębniona część pracy zbiorowej, jeżeli wykazuje ona indywidualny wkład kandydata przy opracowywaniu koncepcji, wykonywaniu części eksperymentalnej, opracowaniu i interpretacji wyników tej pracy, odpowiadający warunkom określonym w ust. 1. </w:t>
      </w:r>
    </w:p>
    <w:p w:rsidR="00716C12" w:rsidRPr="00716C12" w:rsidRDefault="00E25134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Komisji ds. Stopni Naukowych</w:t>
      </w:r>
      <w:r w:rsidR="00716C12"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przeprowadzającej przewód, rozprawa doktorska może być przedstawiona w języku innym niż polski. 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Rozprawa doktorska w języku polskim powinna być 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opatrzona streszczeniem w języku angielskim oraz języku polskim, a rozprawa doktorska przygotowana w języku obcym streszczeniem w języku polskim.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przypadkach, gdy rozprawa doktorska nie ma formy pisemnej powinna być opatrzona opisem w języku polskim i angielskim. </w:t>
      </w:r>
    </w:p>
    <w:p w:rsid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ubiegająca się o nadanie stopnia doktora, przed złożeniem pracy zobligowana jest do przedstawienia swojej pracy na seminarium. Informację o terminie seminarium, poprzez asystentkę do spraw przewodów doktorskich, otrzymują wszystkie Katedry Wydziału.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16C12" w:rsidRPr="00716C12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WYZNACZENIE RECENZENTÓW I KOMISJI EGZAMINÓW DOKTORSKICH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Osoba ubiegająca się o nadanie stopnia doktora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C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przedkłada promotorowi rozprawę doktorską wraz ze streszczeniami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— w przypadku prac projektowych, konstrukcyjnych, technologicznych lub artystycznych — opisem wskazującym problem naukowy, które zostało w tej pracy przedstawione, </w:t>
      </w:r>
      <w:r w:rsidRPr="00716C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formie elektronicznej i papierowej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16C12" w:rsidRDefault="00716C12" w:rsidP="006C3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rozprawę doktorską stanowi część pracy zbiorowej, kandydat przedkłada oświadczenia wszystkich jej współautorów określające indy</w:t>
      </w:r>
      <w:r w:rsidR="006C37A0">
        <w:rPr>
          <w:rFonts w:ascii="Times New Roman" w:eastAsia="Times New Roman" w:hAnsi="Times New Roman" w:cs="Times New Roman"/>
          <w:sz w:val="24"/>
          <w:szCs w:val="24"/>
          <w:lang w:eastAsia="pl-PL"/>
        </w:rPr>
        <w:t>widualny wkład każdego z nich w 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jej powstanie. Kandydat jest zwolniony z obowią</w:t>
      </w:r>
      <w:r w:rsidR="006C37A0">
        <w:rPr>
          <w:rFonts w:ascii="Times New Roman" w:eastAsia="Times New Roman" w:hAnsi="Times New Roman" w:cs="Times New Roman"/>
          <w:sz w:val="24"/>
          <w:szCs w:val="24"/>
          <w:lang w:eastAsia="pl-PL"/>
        </w:rPr>
        <w:t>zku przedłożenia oświadczenia w 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śmierci współautora, uznania go za zmarłego albo jego trwałego uszczerbku na zdrowiu, uniemożliwiającego uzyskanie wymaganego oświadczenia.</w:t>
      </w:r>
    </w:p>
    <w:p w:rsidR="006C37A0" w:rsidRPr="00716C12" w:rsidRDefault="006C37A0" w:rsidP="006C3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C12" w:rsidRPr="00716C12" w:rsidRDefault="00716C12" w:rsidP="006C37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Promotor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przewodniczącemu Komisji Doktorskiej rozprawę doktorską wraz ze swoją pisemną opinią oraz wniosek z prośbą o wyznaczenie Recenzentów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Egzaminów Doktorskich.</w:t>
      </w:r>
    </w:p>
    <w:p w:rsidR="00716C12" w:rsidRPr="00D62D0D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Osoba ubiegająca się o nadanie stopnia doktora</w:t>
      </w: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1922BA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dkłada następujące dokumenty (u </w:t>
      </w: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asystentki do spraw przewodów doktorskich):</w:t>
      </w:r>
    </w:p>
    <w:p w:rsidR="00D62D0D" w:rsidRPr="00D62D0D" w:rsidRDefault="00D62D0D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a) 3 oprawione</w:t>
      </w:r>
      <w:r w:rsidR="00716C12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egzemplarze rozprawy doktorskiej (</w:t>
      </w: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2 egz. dla recenzentów plus</w:t>
      </w:r>
      <w:r w:rsidR="00716C12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egzemplarz </w:t>
      </w: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biblioteki) oraz 1 egzemplarz </w:t>
      </w:r>
      <w:r w:rsidR="00716C12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oprawiony - kartki luzem, dwustronnie drukowany, numeracja od pierwszej strony</w:t>
      </w:r>
      <w:r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archiwum.</w:t>
      </w:r>
      <w:r w:rsidR="00716C12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716C12" w:rsidRPr="00D6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raca doktorska musi być zawierać streszczenia w j. polskim i angielskim</w:t>
      </w:r>
      <w:r w:rsidR="00716C12" w:rsidRP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2BA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pracę doktorską w wersji elektronicznej na dwóch płytach CD w formacie PDF (jedna płyta przeznaczona jest do biblioteki przy Wydzia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W-10, a druga do archiwum), </w:t>
      </w:r>
    </w:p>
    <w:p w:rsidR="001922BA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streszczenia 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wersji elektronicznej</w:t>
      </w:r>
      <w:r w:rsid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przesłany e-mailem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62D0D" w:rsidRDefault="00D62D0D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opinię promotora o pracy,</w:t>
      </w:r>
    </w:p>
    <w:p w:rsidR="001922BA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e) zaśw</w:t>
      </w:r>
      <w:r w:rsidR="00D62D0D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 o odbytym seminarium,</w:t>
      </w:r>
    </w:p>
    <w:p w:rsidR="00716C12" w:rsidRPr="00716C12" w:rsidRDefault="00D62D0D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wykaz artykułów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6C12" w:rsidRPr="00716C12" w:rsidRDefault="00D62D0D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Stała </w:t>
      </w:r>
      <w:r w:rsidR="00A17BF8"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</w:t>
      </w:r>
      <w:r w:rsidR="00716C12"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omisja </w:t>
      </w:r>
      <w:r w:rsidR="00A17BF8"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="00716C12"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oktors</w:t>
      </w:r>
      <w:r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ka </w:t>
      </w:r>
      <w:r w:rsidR="00A17BF8"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Pr="00486B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danej specjalności </w:t>
      </w:r>
      <w:r w:rsidR="00A1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(tzw. stały zespół naukowy)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 </w:t>
      </w:r>
      <w:r w:rsidR="00A1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Radzie Dyscypliny </w:t>
      </w:r>
      <w:r w:rsidR="0048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17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aukowej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Inżynieria Mechaniczna</w:t>
      </w:r>
      <w:r w:rsidR="00716C12"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min. dwóch kandydatów na Recenzentów oraz proponuje skład kom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isji egzaminów doktorskich z:</w:t>
      </w:r>
    </w:p>
    <w:p w:rsidR="001922BA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dyscypliny podstawowej (odp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owiadającej tematowi rozprawy) </w:t>
      </w:r>
    </w:p>
    <w:p w:rsidR="001922BA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dyscypliny do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datkowej </w:t>
      </w:r>
    </w:p>
    <w:p w:rsidR="00716C12" w:rsidRPr="00716C12" w:rsidRDefault="00716C12" w:rsidP="00192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języka obcego nowożytnego (jeśli kandydat nie prze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dstawi certyfikatu wskazanego w 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rozporządzeniu.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22BA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 języka obcego przeprowadzany jest przez Komisje powołane przez Studium Języków Obcych Politechniki Wrocławskiej (na stronie </w:t>
      </w:r>
      <w:hyperlink r:id="rId5" w:history="1">
        <w:r w:rsidRPr="00716C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http://www.sjo.pwr.wroc.pl</w:t>
        </w:r>
      </w:hyperlink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są składy komisji wraz z term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inami na cały rok akademicki). </w:t>
      </w:r>
    </w:p>
    <w:p w:rsidR="00716C12" w:rsidRPr="00716C12" w:rsidRDefault="001922BA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RECENZENCI</w:t>
      </w:r>
    </w:p>
    <w:p w:rsidR="001922BA" w:rsidRDefault="00486B50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Naukowej</w:t>
      </w:r>
      <w:r w:rsidR="005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Inżynieria Mechaniczna</w:t>
      </w:r>
      <w:r w:rsidR="00716C12"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prze</w:t>
      </w:r>
      <w:r w:rsid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</w:t>
      </w:r>
      <w:r w:rsidR="005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</w:t>
      </w:r>
      <w:r w:rsidR="00516F88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Stałej </w:t>
      </w:r>
      <w:r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516F88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omisji doktorskiej o danej specjalności</w:t>
      </w:r>
      <w:r w:rsidR="005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yznacza </w:t>
      </w:r>
      <w:r w:rsidR="00716C12"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dwóch Recenzentów.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 przedstawia opin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Naukowej Inżynieria Mechaniczna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papierowej i elektronicznej, nie później niż w terminie dwóch miesięcy od dnia otrzymania wniosku o jej sporządzenie. W uzasadni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przypadkach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Naukowej Inżynieria Mechaniczna</w:t>
      </w:r>
      <w:r w:rsidR="00516F88"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przedłużyć termin prz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edstawienia recenzji o miesiąc.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Recenzja może zawierać wnioski dotyczące uzupełnienia lub poprawienia rozprawy doktorskiej. Uzupełnioną lub poprawioną rozprawę doktorską kandydat przedkłada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Naukowej Inżynieria Mechaniczna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kieruje ją do ponownej oceny tych samych recenzentów. 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Recenzenci przedstawiają </w:t>
      </w:r>
      <w:r w:rsidR="00486B50" w:rsidRPr="00486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</w:t>
      </w:r>
      <w:r w:rsidR="00486B50" w:rsidRPr="00486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</w:t>
      </w:r>
      <w:r w:rsidR="00486B50" w:rsidRPr="00486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Dyscypliny Naukowej Inżynieria Mechaniczna</w:t>
      </w:r>
      <w:r w:rsidRPr="00486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recenzję uzupełnionej lub poprawionej rozprawy doktorskiej w terminie miesią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 od dnia otrzymania wniosku o 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jej sporządzenie. 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otrzymaniu ostatniej recenzji rozprawy doktorskiej obie recenzje wraz ze streszczeniem przek</w:t>
      </w:r>
      <w:r w:rsidR="00D90C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azywane są do Rady Doskonałości Naukowej</w:t>
      </w:r>
      <w:r w:rsidRPr="00716C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oraz umieszczane na stronie Wydziału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Mechanicznego </w:t>
      </w:r>
      <w:hyperlink r:id="rId6" w:history="1">
        <w:r w:rsidRPr="00716C12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  <w:lang w:eastAsia="pl-PL"/>
          </w:rPr>
          <w:t>http://www.wm.pwr.edu.pl</w:t>
        </w:r>
      </w:hyperlink>
      <w:r w:rsidRPr="00716C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  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EGZAMINY DOKTORSKIE   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ma obowiązek zdania trzech egzaminów doktorskich z:</w:t>
      </w:r>
    </w:p>
    <w:p w:rsidR="00D90CCC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dyscypliny podstawowej (odpo</w:t>
      </w:r>
      <w:r w:rsidR="00D90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wiadającej tematowi rozprawy), </w:t>
      </w:r>
    </w:p>
    <w:p w:rsidR="00D90CCC" w:rsidRDefault="00D90CCC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dyscypliny dodatkowej, </w:t>
      </w:r>
    </w:p>
    <w:p w:rsidR="00716C12" w:rsidRPr="00716C12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języka obcego nowożytnego (jeśli kandydat nie prze</w:t>
      </w:r>
      <w:r w:rsidR="00D90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dstawi certyfikatu wskazanego w rozporządzeniu. </w:t>
      </w:r>
    </w:p>
    <w:p w:rsidR="00716C12" w:rsidRPr="00515E1D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Terminy egzaminów doktorskich ustala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Naukowej Inżynieria Mechaniczna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</w:t>
      </w:r>
      <w:r w:rsidR="00303C57" w:rsidRP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03C57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 w:rsidR="008155EF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tałymi </w:t>
      </w:r>
      <w:r w:rsidR="00486B50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303C57" w:rsidRPr="00486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omisjami doktorskimi o danej specjalności</w:t>
      </w:r>
      <w:r w:rsidR="00303C57" w:rsidRP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(terminy koordynuje asystentka do spraw przewodów doktorskich).</w:t>
      </w:r>
    </w:p>
    <w:p w:rsidR="00D90CCC" w:rsidRPr="008155EF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niezdania jednego z egzaminów doktorskich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Naukowej Inżynieria Mechaniczna</w:t>
      </w:r>
      <w:r w:rsidR="00515E1D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wniosek K</w:t>
      </w:r>
      <w:r w:rsidRPr="00815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andydata, może wyrazić zgodę na powtórne jego zdawanie, nie wcześniej jednak niż po upływie trzech miesięcy od dnia przystąpienia do tego egzaminu po raz </w:t>
      </w:r>
      <w:r w:rsidR="00D90CCC" w:rsidRPr="008155E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i nie więcej niż raz.</w:t>
      </w:r>
    </w:p>
    <w:p w:rsidR="00D90CCC" w:rsidRDefault="00716C12" w:rsidP="00D9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 z języka obcego</w:t>
      </w:r>
    </w:p>
    <w:p w:rsidR="00D90CCC" w:rsidRDefault="00716C12" w:rsidP="00D9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należy zapisywać się najpóźniej 3 dni przed egzaminem w SJO, tel. 320-31-17, 3</w:t>
      </w:r>
      <w:r w:rsidR="00D90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20-31-87.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zapisania się jest dostarczenie do sekretariatu SJO PROTOKOŁU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DOKTORSKIEGO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(protokół sporządza asystentka do</w:t>
      </w:r>
      <w:r w:rsidR="00D90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przewodów doktorskich).</w:t>
      </w:r>
    </w:p>
    <w:p w:rsidR="00D90CCC" w:rsidRDefault="00D90CCC" w:rsidP="00D9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C12" w:rsidRPr="00716C12" w:rsidRDefault="00716C12" w:rsidP="00D90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zdania egzaminu ustalone przez SJO (</w:t>
      </w:r>
      <w:hyperlink r:id="rId7" w:history="1">
        <w:r w:rsidRPr="00716C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http://www.sjo.pwr.wroc.pl</w:t>
        </w:r>
      </w:hyperlink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716C12" w:rsidRPr="00716C12" w:rsidRDefault="00716C12" w:rsidP="003709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• Egzamin doktorski  jest przeprowadzany w SJO raz w miesiącu, zwykle w pierwszą lub drugą sobotę miesiąca z wyjątkiem przerwy wakacyjnej. Jest to egzamin komisyjny, ustny, na poziomie B2, który składa się z trzech części: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896"/>
        <w:gridCol w:w="2179"/>
      </w:tblGrid>
      <w:tr w:rsidR="00716C12" w:rsidRPr="00716C12" w:rsidTr="00716C12"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egzaminacyjne 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zadania egzaminacyjnego 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liczba punktów </w:t>
            </w:r>
          </w:p>
        </w:tc>
      </w:tr>
      <w:tr w:rsidR="00716C12" w:rsidRPr="00716C12" w:rsidTr="00716C12"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Autoprezentacja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2-3 minutowe przemówienie </w:t>
            </w: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dowolnej formie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punktów </w:t>
            </w:r>
          </w:p>
        </w:tc>
      </w:tr>
      <w:tr w:rsidR="00716C12" w:rsidRPr="00716C12" w:rsidTr="00716C12"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Prezentacja popularno-naukowa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Prezentacja </w:t>
            </w:r>
            <w:proofErr w:type="spellStart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popularno</w:t>
            </w:r>
            <w:proofErr w:type="spellEnd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naukowa  w formie multimedialnej dotycząca pracy doktorskiej lub na temat </w:t>
            </w: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zakresu studiowanej dyscypliny naukowej (około 10 minut)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punktów </w:t>
            </w:r>
          </w:p>
        </w:tc>
      </w:tr>
      <w:tr w:rsidR="00716C12" w:rsidRPr="00716C12" w:rsidTr="00716C12"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Odpowiedź na losowo wybrane pytanie z zakresu „General English” (np. sport, </w:t>
            </w:r>
            <w:proofErr w:type="spellStart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interests</w:t>
            </w:r>
            <w:proofErr w:type="spellEnd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medicine</w:t>
            </w:r>
            <w:proofErr w:type="spellEnd"/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travelling etc.)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tematu w formie monologu (2-3 minuty) oraz odpowiedzi na pytania egzaminatorów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C12" w:rsidRPr="00716C12" w:rsidRDefault="00716C12" w:rsidP="00716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6C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punktów </w:t>
            </w:r>
          </w:p>
        </w:tc>
      </w:tr>
    </w:tbl>
    <w:p w:rsidR="003709CA" w:rsidRDefault="00716C12" w:rsidP="00370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</w:t>
      </w:r>
      <w:r w:rsidR="0037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prezentacji popularnonaukowej:</w:t>
      </w:r>
    </w:p>
    <w:p w:rsidR="003709CA" w:rsidRDefault="00716C12" w:rsidP="0037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Komunikatywność (płynność, logika prezentacji) i struktura oraz treść prezentacji: </w:t>
      </w:r>
      <w:r w:rsidR="0037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maks. 10 punktów  </w:t>
      </w:r>
    </w:p>
    <w:p w:rsidR="003709CA" w:rsidRDefault="00716C12" w:rsidP="0037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Poprawność językowa wypowiedzi (gramatyka, leksyk</w:t>
      </w:r>
      <w:r w:rsidR="0037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wymowa): maks. 10 punktów, </w:t>
      </w:r>
    </w:p>
    <w:p w:rsidR="003709CA" w:rsidRDefault="00716C12" w:rsidP="0037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• Bogactwo językowe (różnorodność użytego słownictwa i zastosowanych struktur gr</w:t>
      </w:r>
      <w:r w:rsidR="003709CA">
        <w:rPr>
          <w:rFonts w:ascii="Times New Roman" w:eastAsia="Times New Roman" w:hAnsi="Times New Roman" w:cs="Times New Roman"/>
          <w:sz w:val="24"/>
          <w:szCs w:val="24"/>
          <w:lang w:eastAsia="pl-PL"/>
        </w:rPr>
        <w:t>amatycznych): maks. 10 punktów.</w:t>
      </w:r>
    </w:p>
    <w:p w:rsidR="003709CA" w:rsidRDefault="003709CA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2BA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Skala oceny końcowej: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Punkty  Ocena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49 - 50  Celujący (5,5)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45 - 48  Bardzo dobry (5,0)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41 - 44  Dobry plus (4,5)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36 - 40  Dobry (4,0)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31 - 35  Dostateczny plus (3,5)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25 -30   Dostateczny (3,0)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&lt;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     Niedostateczny (2,0) 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22BA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Sala egzaminacyjna wyposażona jest w sprzęt multimedial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ny. </w:t>
      </w:r>
    </w:p>
    <w:p w:rsidR="001922BA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Doktorant ma obowiązek zdać wszystkie egzaminy przed p</w:t>
      </w:r>
      <w:r w:rsidR="001922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rzyjęciem rozprawy doktorskiej</w:t>
      </w:r>
    </w:p>
    <w:p w:rsidR="001922BA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 xml:space="preserve">PRZYJĘCIE ROZPRAWY I DOPUSZCZENIE </w:t>
      </w:r>
      <w:r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 xml:space="preserve">JEJ </w:t>
      </w:r>
      <w:r w:rsidR="001922BA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DO PUBLICZNEJ OBRONY</w:t>
      </w:r>
    </w:p>
    <w:p w:rsidR="00716C12" w:rsidRPr="00716C12" w:rsidRDefault="00716C12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recenzji i zdaniu egzaminów doktorskich zwoływane jest posiedzenie </w:t>
      </w:r>
      <w:r w:rsidR="00793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Doktorskiej danego przewodu doktorskiego 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rzyjęcia rozprawy doktorskiej i 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dopuszczenia jej do publicznej obrony.</w:t>
      </w:r>
    </w:p>
    <w:p w:rsidR="00716C12" w:rsidRPr="00716C12" w:rsidRDefault="00716C12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wyznacza termin obrony rozprawy doktorskiej. Zawiadomienia o terminie publicznej obrony rozprawy doktorskiej rozsyłane są do wszystkich uprawnionych jednostek w danej dyscyplinie, co najmniej 10 dni przed obroną (</w:t>
      </w:r>
      <w:r w:rsidRPr="00716C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dwa egzemplarze rozprawy doktorskiej przekazywane są do Centrum Wiedzy i Informacji Naukowo-Technicznej oraz do Oddziału przy Wydziale Mechanicznym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16C12" w:rsidRPr="00716C12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publicznej obrony rozprawy doktorskiej zamieszczana jest na stronie Wydziału Mechanicznego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716C1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http://www.wm.pwr.edu.pl</w:t>
        </w:r>
      </w:hyperlink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2BA" w:rsidRDefault="00716C12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Doktorant, według uznania, może zaprosić na obronę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członków Komisji Doktorskiej i </w:t>
      </w:r>
      <w:r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zainteresowane osoby (szablon zaproszeń dostępny jest u asystentki do</w:t>
      </w:r>
      <w:r w:rsidR="00192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 przewodów doktorskich).</w:t>
      </w:r>
    </w:p>
    <w:p w:rsidR="00716C12" w:rsidRPr="00716C12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PUBLICZNA OBRONA ROZPRAWY DOKTORSKIEJ</w:t>
      </w:r>
    </w:p>
    <w:p w:rsidR="001922BA" w:rsidRDefault="00716C12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obrona rozprawy doktorskiej odbywa się przed Komisją Doktorsk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ą i składa się z dwóch części.</w:t>
      </w:r>
    </w:p>
    <w:p w:rsidR="001922BA" w:rsidRDefault="00716C12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jawnej doktorant prezentuje główne tezy ro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zprawy (zwyczajowo ok 20 min), a 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recenzenci przedstawiają swoje opinie po czym doktorant udziela odpowiedzi na uwagi zawarte w recenzjach. W drugiej kolejności mogą być zadawane pytania przez wszystkie osoby obecne na publicznej obronie a doktorant ustosunkowuje się do wszystkich pytań.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Druga część posiedzenia Komisji Doktorskiej jest niejawna, a na niej Komisja Doktorska podejmuje uchwałę o przyjęciu (lub nie przyjęciu) publicznej obrony rozprawy doktorskiej oraz formułuje wniosek do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Naukowej Inżynieria Mechaniczna</w:t>
      </w:r>
      <w:r w:rsidRPr="0071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podjęcia uchwały o nadaniu (lub nie nadaniu) stopnia naukowego doktora nauk tec</w:t>
      </w:r>
      <w:r w:rsidR="001922BA">
        <w:rPr>
          <w:rFonts w:ascii="Times New Roman" w:eastAsia="Times New Roman" w:hAnsi="Times New Roman" w:cs="Times New Roman"/>
          <w:sz w:val="24"/>
          <w:szCs w:val="24"/>
          <w:lang w:eastAsia="pl-PL"/>
        </w:rPr>
        <w:t>hnicznych w danej dyscyplinie.</w:t>
      </w:r>
    </w:p>
    <w:p w:rsidR="00716C12" w:rsidRPr="00716C12" w:rsidRDefault="00303C57" w:rsidP="001922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•Wyróżnienie rozprawy doktorskiej</w:t>
      </w:r>
      <w:r w:rsidR="00716C12" w:rsidRPr="00716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B14E8" w:rsidRPr="005B14E8" w:rsidRDefault="005B14E8" w:rsidP="005B14E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4E8">
        <w:rPr>
          <w:rFonts w:ascii="Times New Roman" w:hAnsi="Times New Roman" w:cs="Times New Roman"/>
          <w:sz w:val="24"/>
          <w:szCs w:val="24"/>
        </w:rPr>
        <w:lastRenderedPageBreak/>
        <w:t>Wniosek o wyróżnienie rozprawy doktorskiej może złożyć Recenzent, w podsumowaniu recenzji lub ustnie po przyjęciu publicznej obrony, na posiedzeniu niejawnym.</w:t>
      </w:r>
    </w:p>
    <w:p w:rsidR="005B14E8" w:rsidRPr="005B14E8" w:rsidRDefault="005B14E8" w:rsidP="005B14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14E8" w:rsidRPr="005B14E8" w:rsidRDefault="005B14E8" w:rsidP="005B14E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4E8">
        <w:rPr>
          <w:rFonts w:ascii="Times New Roman" w:hAnsi="Times New Roman" w:cs="Times New Roman"/>
          <w:sz w:val="24"/>
          <w:szCs w:val="24"/>
        </w:rPr>
        <w:t>Wniosek o wyróżnienie uzyskuje poparcie, gdy w głosowaniu tajnym, średnia arytmetyczna uzyskanych punktów wyniesie co najmniej 8. Każdy z członków Komisji Doktorskiej ocenia rozprawę w skali 1÷10 punktów.</w:t>
      </w:r>
    </w:p>
    <w:p w:rsidR="007936FA" w:rsidRDefault="00716C12" w:rsidP="007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NADANIE STOPNIA NAUKOWEGO DOKTORA NAUK T</w:t>
      </w:r>
      <w:r w:rsidR="007936FA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INŻYNIERYJNO-T</w:t>
      </w:r>
      <w:r w:rsidRPr="00716C12">
        <w:rPr>
          <w:rFonts w:ascii="Times New Roman" w:eastAsia="Times New Roman" w:hAnsi="Times New Roman" w:cs="Times New Roman"/>
          <w:b/>
          <w:bCs/>
          <w:color w:val="0058FF"/>
          <w:sz w:val="24"/>
          <w:szCs w:val="24"/>
          <w:lang w:eastAsia="pl-PL"/>
        </w:rPr>
        <w:t>ECHNICZNYCH</w:t>
      </w:r>
    </w:p>
    <w:p w:rsidR="00B115A4" w:rsidRPr="00303C57" w:rsidRDefault="00303C57" w:rsidP="0030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Komisji Doktorskiej w danym przewodzie doktorskim </w:t>
      </w:r>
      <w:r w:rsidR="00486B5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Dyscypliny Naukowej Inżynieria Mechaniczna</w:t>
      </w:r>
      <w:r w:rsidR="007936FA"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uchwałę o </w:t>
      </w:r>
      <w:r w:rsidR="00716C12"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nadaniu stopnia doktora nauk </w:t>
      </w:r>
      <w:r w:rsidR="007936FA"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>inżynieryjno-</w:t>
      </w:r>
      <w:r w:rsidRPr="0030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technicznych lub wyróżnieniu rozprawy doktorskiej. </w:t>
      </w:r>
      <w:bookmarkStart w:id="0" w:name="_GoBack"/>
      <w:bookmarkEnd w:id="0"/>
    </w:p>
    <w:sectPr w:rsidR="00B115A4" w:rsidRPr="0030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807"/>
    <w:multiLevelType w:val="multilevel"/>
    <w:tmpl w:val="2C4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6B58"/>
    <w:multiLevelType w:val="hybridMultilevel"/>
    <w:tmpl w:val="EF5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3EA2"/>
    <w:multiLevelType w:val="hybridMultilevel"/>
    <w:tmpl w:val="2D1C1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04164"/>
    <w:multiLevelType w:val="multilevel"/>
    <w:tmpl w:val="CB1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2F"/>
    <w:rsid w:val="000E4B80"/>
    <w:rsid w:val="001922BA"/>
    <w:rsid w:val="00303C57"/>
    <w:rsid w:val="003709CA"/>
    <w:rsid w:val="00486B50"/>
    <w:rsid w:val="00515E1D"/>
    <w:rsid w:val="00516F88"/>
    <w:rsid w:val="005B14E8"/>
    <w:rsid w:val="006C37A0"/>
    <w:rsid w:val="006F3090"/>
    <w:rsid w:val="00716C12"/>
    <w:rsid w:val="007936FA"/>
    <w:rsid w:val="008155EF"/>
    <w:rsid w:val="00A17BF8"/>
    <w:rsid w:val="00A6632F"/>
    <w:rsid w:val="00B115A4"/>
    <w:rsid w:val="00D62D0D"/>
    <w:rsid w:val="00D90CCC"/>
    <w:rsid w:val="00E2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C207"/>
  <w15:docId w15:val="{1AD87CE9-64BD-4859-AA2D-DC74A4D5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B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C1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6C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6C1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E4B8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0E4B8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.pwr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o.pwr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.pwr.edu.pl/" TargetMode="External"/><Relationship Id="rId5" Type="http://schemas.openxmlformats.org/officeDocument/2006/relationships/hyperlink" Target="http://www.sjo.pwr.wroc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Sylwia</dc:creator>
  <cp:keywords/>
  <dc:description/>
  <cp:lastModifiedBy>sylwia.mendel@pwr.edu.pl</cp:lastModifiedBy>
  <cp:revision>10</cp:revision>
  <dcterms:created xsi:type="dcterms:W3CDTF">2019-11-25T11:07:00Z</dcterms:created>
  <dcterms:modified xsi:type="dcterms:W3CDTF">2021-03-29T08:36:00Z</dcterms:modified>
</cp:coreProperties>
</file>